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D5" w:rsidRDefault="00FD17D5" w:rsidP="009D6EA4">
      <w:pPr>
        <w:tabs>
          <w:tab w:val="left" w:pos="540"/>
        </w:tabs>
        <w:autoSpaceDE w:val="0"/>
        <w:autoSpaceDN w:val="0"/>
        <w:adjustRightInd w:val="0"/>
        <w:spacing w:after="0" w:line="240" w:lineRule="auto"/>
        <w:jc w:val="both"/>
        <w:rPr>
          <w:rFonts w:cstheme="minorHAnsi"/>
          <w:b/>
          <w:color w:val="1F497D" w:themeColor="text2"/>
        </w:rPr>
      </w:pPr>
      <w:r w:rsidRPr="000650EE">
        <w:rPr>
          <w:rFonts w:cstheme="minorHAnsi"/>
          <w:b/>
          <w:color w:val="1F497D" w:themeColor="text2"/>
        </w:rPr>
        <w:t xml:space="preserve">QUARTERLY PROGRESS REPORT: </w:t>
      </w:r>
      <w:r w:rsidR="007703EA">
        <w:rPr>
          <w:rFonts w:cstheme="minorHAnsi"/>
          <w:b/>
          <w:color w:val="1F497D" w:themeColor="text2"/>
        </w:rPr>
        <w:t>JULY TO SEPTEMBER</w:t>
      </w:r>
      <w:r>
        <w:rPr>
          <w:rFonts w:cstheme="minorHAnsi"/>
          <w:b/>
          <w:color w:val="1F497D" w:themeColor="text2"/>
        </w:rPr>
        <w:t xml:space="preserve"> 2013</w:t>
      </w:r>
    </w:p>
    <w:p w:rsidR="009D6EA4" w:rsidRDefault="009D6EA4" w:rsidP="009D6EA4">
      <w:pPr>
        <w:tabs>
          <w:tab w:val="left" w:pos="540"/>
        </w:tabs>
        <w:autoSpaceDE w:val="0"/>
        <w:autoSpaceDN w:val="0"/>
        <w:adjustRightInd w:val="0"/>
        <w:spacing w:after="0" w:line="240" w:lineRule="auto"/>
        <w:jc w:val="both"/>
        <w:rPr>
          <w:rFonts w:cstheme="minorHAnsi"/>
          <w:b/>
          <w:color w:val="1F497D" w:themeColor="text2"/>
        </w:rPr>
      </w:pPr>
    </w:p>
    <w:tbl>
      <w:tblPr>
        <w:tblStyle w:val="LightList-Accent12"/>
        <w:tblW w:w="9738" w:type="dxa"/>
        <w:tblLayout w:type="fixed"/>
        <w:tblLook w:val="00A0" w:firstRow="1" w:lastRow="0" w:firstColumn="1" w:lastColumn="0" w:noHBand="0" w:noVBand="0"/>
      </w:tblPr>
      <w:tblGrid>
        <w:gridCol w:w="9738"/>
      </w:tblGrid>
      <w:tr w:rsidR="009D6EA4" w:rsidRPr="0031776B" w:rsidTr="00450DFD">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738" w:type="dxa"/>
            <w:vAlign w:val="center"/>
          </w:tcPr>
          <w:p w:rsidR="009D6EA4" w:rsidRPr="0031776B" w:rsidRDefault="009D6EA4" w:rsidP="009D6EA4">
            <w:pPr>
              <w:keepNext/>
              <w:rPr>
                <w:rFonts w:asciiTheme="minorHAnsi" w:hAnsiTheme="minorHAnsi" w:cstheme="minorHAnsi"/>
                <w:b w:val="0"/>
                <w:bCs w:val="0"/>
                <w:smallCaps/>
                <w:lang w:val="en-US"/>
              </w:rPr>
            </w:pPr>
            <w:r w:rsidRPr="0031776B">
              <w:rPr>
                <w:rFonts w:asciiTheme="minorHAnsi" w:hAnsiTheme="minorHAnsi" w:cstheme="minorHAnsi"/>
                <w:smallCaps/>
                <w:lang w:val="en-US"/>
              </w:rPr>
              <w:t>Ghana (Phase 2)</w:t>
            </w:r>
          </w:p>
        </w:tc>
      </w:tr>
    </w:tbl>
    <w:p w:rsidR="009D6EA4" w:rsidRPr="0031776B" w:rsidRDefault="009D6EA4" w:rsidP="009D6EA4">
      <w:pPr>
        <w:keepNext/>
        <w:spacing w:after="0" w:line="240" w:lineRule="auto"/>
        <w:rPr>
          <w:rFonts w:cs="Calibri"/>
          <w:color w:val="1F497D"/>
        </w:rPr>
      </w:pPr>
      <w:r w:rsidRPr="0031776B">
        <w:rPr>
          <w:rFonts w:cs="Calibri"/>
          <w:b/>
          <w:bCs/>
          <w:color w:val="1F497D"/>
        </w:rPr>
        <w:t>Area</w:t>
      </w:r>
      <w:r w:rsidRPr="0031776B">
        <w:rPr>
          <w:rFonts w:cs="Calibri"/>
          <w:color w:val="1F497D"/>
        </w:rPr>
        <w:t xml:space="preserve">: Public </w:t>
      </w:r>
    </w:p>
    <w:p w:rsidR="009D6EA4" w:rsidRPr="0031776B" w:rsidRDefault="009D6EA4" w:rsidP="009D6EA4">
      <w:pPr>
        <w:keepNext/>
        <w:spacing w:after="0" w:line="240" w:lineRule="auto"/>
        <w:rPr>
          <w:rFonts w:cs="Calibri"/>
          <w:color w:val="1F497D"/>
        </w:rPr>
      </w:pPr>
      <w:r w:rsidRPr="0031776B">
        <w:rPr>
          <w:rFonts w:cs="Calibri"/>
          <w:b/>
          <w:bCs/>
          <w:color w:val="1F497D"/>
        </w:rPr>
        <w:t>Scope</w:t>
      </w:r>
      <w:r w:rsidRPr="0031776B">
        <w:rPr>
          <w:rFonts w:cs="Calibri"/>
          <w:color w:val="1F497D"/>
        </w:rPr>
        <w:t>: GHG NIS, NAMAs, LEDS, MRV</w:t>
      </w:r>
    </w:p>
    <w:p w:rsidR="009D6EA4" w:rsidRPr="0031776B" w:rsidRDefault="009D6EA4" w:rsidP="009D6EA4">
      <w:pPr>
        <w:keepNext/>
        <w:spacing w:after="0" w:line="240" w:lineRule="auto"/>
        <w:rPr>
          <w:rFonts w:cs="Calibri"/>
          <w:color w:val="1F497D"/>
        </w:rPr>
      </w:pPr>
      <w:r w:rsidRPr="0031776B">
        <w:rPr>
          <w:rFonts w:cs="Calibri"/>
          <w:b/>
          <w:bCs/>
          <w:color w:val="1F497D"/>
        </w:rPr>
        <w:t>Sectors</w:t>
      </w:r>
      <w:r w:rsidRPr="0031776B">
        <w:rPr>
          <w:rFonts w:cs="Calibri"/>
          <w:color w:val="1F497D"/>
        </w:rPr>
        <w:t>: Energy</w:t>
      </w:r>
    </w:p>
    <w:p w:rsidR="009D6EA4" w:rsidRPr="0031776B" w:rsidRDefault="009D6EA4" w:rsidP="009D6EA4">
      <w:pPr>
        <w:keepNext/>
        <w:spacing w:after="0" w:line="240" w:lineRule="auto"/>
        <w:rPr>
          <w:rFonts w:cs="Calibri"/>
          <w:color w:val="1F497D"/>
        </w:rPr>
      </w:pPr>
      <w:r w:rsidRPr="0031776B">
        <w:rPr>
          <w:rFonts w:cs="Calibri"/>
          <w:b/>
          <w:bCs/>
          <w:color w:val="1F497D"/>
        </w:rPr>
        <w:t>National Implementing Agency</w:t>
      </w:r>
      <w:r w:rsidRPr="0031776B">
        <w:rPr>
          <w:rFonts w:cs="Calibri"/>
          <w:color w:val="1F497D"/>
        </w:rPr>
        <w:t>: Directorate for Environment, Ministry of Environment, Science and Technology and Innovation (MESTI)</w:t>
      </w:r>
    </w:p>
    <w:p w:rsidR="009D6EA4" w:rsidRPr="0031776B" w:rsidRDefault="009D6EA4" w:rsidP="009D6EA4">
      <w:pPr>
        <w:keepNext/>
        <w:spacing w:after="0" w:line="240" w:lineRule="auto"/>
        <w:rPr>
          <w:rFonts w:cs="Calibri"/>
          <w:color w:val="1F497D"/>
        </w:rPr>
      </w:pPr>
    </w:p>
    <w:p w:rsidR="009D6EA4" w:rsidRPr="0031776B" w:rsidRDefault="009D6EA4" w:rsidP="009D6EA4">
      <w:pPr>
        <w:spacing w:after="0" w:line="240" w:lineRule="auto"/>
        <w:jc w:val="both"/>
        <w:rPr>
          <w:rFonts w:cs="Calibri"/>
          <w:bCs/>
          <w:color w:val="1F497D"/>
        </w:rPr>
      </w:pPr>
      <w:r w:rsidRPr="0031776B">
        <w:rPr>
          <w:rFonts w:cs="Calibri"/>
          <w:bCs/>
          <w:color w:val="1F497D"/>
        </w:rPr>
        <w:t xml:space="preserve">The first Project Steering Committee </w:t>
      </w:r>
      <w:r>
        <w:rPr>
          <w:rFonts w:cs="Calibri"/>
          <w:bCs/>
          <w:color w:val="1F497D"/>
        </w:rPr>
        <w:t xml:space="preserve">meeting </w:t>
      </w:r>
      <w:r w:rsidRPr="0031776B">
        <w:rPr>
          <w:rFonts w:cs="Calibri"/>
          <w:bCs/>
          <w:color w:val="1F497D"/>
        </w:rPr>
        <w:t xml:space="preserve">was held on 11 July, where committee members approved their Terms of Reference, as well as the 2013 work plan and budget. During this quarter, the project technical working groups also met to agree on </w:t>
      </w:r>
      <w:r>
        <w:rPr>
          <w:rFonts w:cs="Calibri"/>
          <w:bCs/>
          <w:color w:val="1F497D"/>
        </w:rPr>
        <w:t xml:space="preserve">an implementation strategy </w:t>
      </w:r>
      <w:proofErr w:type="gramStart"/>
      <w:r>
        <w:rPr>
          <w:rFonts w:cs="Calibri"/>
          <w:bCs/>
          <w:color w:val="1F497D"/>
        </w:rPr>
        <w:t xml:space="preserve">for </w:t>
      </w:r>
      <w:r w:rsidRPr="0031776B">
        <w:rPr>
          <w:rFonts w:cs="Calibri"/>
          <w:bCs/>
          <w:color w:val="1F497D"/>
        </w:rPr>
        <w:t xml:space="preserve"> the</w:t>
      </w:r>
      <w:proofErr w:type="gramEnd"/>
      <w:r w:rsidRPr="0031776B">
        <w:rPr>
          <w:rFonts w:cs="Calibri"/>
          <w:bCs/>
          <w:color w:val="1F497D"/>
        </w:rPr>
        <w:t xml:space="preserve"> three project outcomes</w:t>
      </w:r>
      <w:r>
        <w:rPr>
          <w:rFonts w:cs="Calibri"/>
          <w:bCs/>
          <w:color w:val="1F497D"/>
        </w:rPr>
        <w:t xml:space="preserve"> and the coordination mechanisms to ensure timely deliverables</w:t>
      </w:r>
      <w:r w:rsidRPr="0031776B">
        <w:rPr>
          <w:rFonts w:cs="Calibri"/>
          <w:bCs/>
          <w:color w:val="1F497D"/>
        </w:rPr>
        <w:t>.</w:t>
      </w:r>
    </w:p>
    <w:p w:rsidR="009D6EA4" w:rsidRPr="0031776B" w:rsidRDefault="009D6EA4" w:rsidP="009D6EA4">
      <w:pPr>
        <w:spacing w:after="0" w:line="240" w:lineRule="auto"/>
        <w:jc w:val="both"/>
        <w:rPr>
          <w:rFonts w:cs="Calibri"/>
          <w:bCs/>
          <w:color w:val="1F497D"/>
        </w:rPr>
      </w:pPr>
    </w:p>
    <w:p w:rsidR="009D6EA4" w:rsidRPr="0031776B" w:rsidRDefault="009D6EA4" w:rsidP="009D6EA4">
      <w:pPr>
        <w:keepNext/>
        <w:spacing w:after="0" w:line="240" w:lineRule="auto"/>
        <w:jc w:val="both"/>
        <w:rPr>
          <w:rFonts w:cs="Calibri"/>
          <w:bCs/>
          <w:color w:val="1F497D"/>
        </w:rPr>
      </w:pPr>
      <w:r w:rsidRPr="0031776B">
        <w:rPr>
          <w:rFonts w:cs="Calibri"/>
          <w:bCs/>
          <w:i/>
          <w:color w:val="1F497D"/>
          <w:u w:val="single"/>
        </w:rPr>
        <w:t xml:space="preserve">Outcome1: Up to 2 financeable energy-related NAMAs formulated in the context of national development priorities, including the associated MRV </w:t>
      </w:r>
      <w:r w:rsidRPr="00587B54">
        <w:rPr>
          <w:rFonts w:cs="Calibri"/>
          <w:i/>
          <w:color w:val="1F497D"/>
          <w:u w:val="single"/>
        </w:rPr>
        <w:t>system</w:t>
      </w:r>
      <w:r w:rsidRPr="0031776B">
        <w:rPr>
          <w:rFonts w:cs="Calibri"/>
          <w:bCs/>
          <w:color w:val="1F497D"/>
        </w:rPr>
        <w:t xml:space="preserve"> </w:t>
      </w:r>
    </w:p>
    <w:p w:rsidR="009D6EA4" w:rsidRPr="0031776B" w:rsidRDefault="009D6EA4" w:rsidP="009D6EA4">
      <w:pPr>
        <w:spacing w:after="0" w:line="240" w:lineRule="auto"/>
        <w:jc w:val="both"/>
        <w:rPr>
          <w:rFonts w:cs="Calibri"/>
          <w:bCs/>
          <w:color w:val="1F497D"/>
        </w:rPr>
      </w:pPr>
    </w:p>
    <w:p w:rsidR="009D6EA4" w:rsidRPr="0031776B" w:rsidRDefault="009D6EA4" w:rsidP="009D6EA4">
      <w:pPr>
        <w:spacing w:after="0" w:line="240" w:lineRule="auto"/>
        <w:jc w:val="both"/>
        <w:rPr>
          <w:rFonts w:cs="Calibri"/>
          <w:bCs/>
          <w:color w:val="1F497D"/>
        </w:rPr>
      </w:pPr>
      <w:r w:rsidRPr="0031776B">
        <w:rPr>
          <w:rFonts w:cs="Calibri"/>
          <w:bCs/>
          <w:color w:val="1F497D"/>
        </w:rPr>
        <w:t>Project partners held bilateral discussions with a number of energy-related organizations and companies (e.g. Volta River Authority, Energy Commission) to explore interest and potential opportunities for collaboration in NAMA development.</w:t>
      </w:r>
    </w:p>
    <w:p w:rsidR="009D6EA4" w:rsidRPr="0031776B" w:rsidRDefault="009D6EA4" w:rsidP="009D6EA4">
      <w:pPr>
        <w:spacing w:after="0" w:line="240" w:lineRule="auto"/>
        <w:jc w:val="both"/>
        <w:rPr>
          <w:rFonts w:cs="Calibri"/>
          <w:bCs/>
          <w:color w:val="1F497D"/>
        </w:rPr>
      </w:pPr>
    </w:p>
    <w:p w:rsidR="009D6EA4" w:rsidRPr="0031776B" w:rsidRDefault="009D6EA4" w:rsidP="009D6EA4">
      <w:pPr>
        <w:keepNext/>
        <w:spacing w:after="0" w:line="240" w:lineRule="auto"/>
        <w:jc w:val="both"/>
        <w:rPr>
          <w:rFonts w:cs="Calibri"/>
          <w:bCs/>
          <w:i/>
          <w:color w:val="1F497D"/>
          <w:u w:val="single"/>
        </w:rPr>
      </w:pPr>
      <w:r w:rsidRPr="0031776B">
        <w:rPr>
          <w:rFonts w:cs="Calibri"/>
          <w:bCs/>
          <w:i/>
          <w:color w:val="1F497D"/>
          <w:u w:val="single"/>
        </w:rPr>
        <w:t>Outcome2: Ghana NAMAs Investor Guide reviewed and promoted among the business community</w:t>
      </w:r>
    </w:p>
    <w:p w:rsidR="009D6EA4" w:rsidRPr="0031776B" w:rsidRDefault="009D6EA4" w:rsidP="009D6EA4">
      <w:pPr>
        <w:spacing w:after="0" w:line="240" w:lineRule="auto"/>
        <w:jc w:val="both"/>
        <w:rPr>
          <w:rFonts w:cs="Calibri"/>
          <w:bCs/>
          <w:color w:val="1F497D"/>
        </w:rPr>
      </w:pPr>
    </w:p>
    <w:p w:rsidR="009D6EA4" w:rsidRPr="0031776B" w:rsidRDefault="009D6EA4" w:rsidP="009D6EA4">
      <w:pPr>
        <w:spacing w:after="0" w:line="240" w:lineRule="auto"/>
        <w:jc w:val="both"/>
        <w:rPr>
          <w:rFonts w:cs="Calibri"/>
          <w:bCs/>
          <w:color w:val="1F497D"/>
        </w:rPr>
      </w:pPr>
      <w:r w:rsidRPr="0031776B">
        <w:rPr>
          <w:rFonts w:cs="Calibri"/>
          <w:bCs/>
          <w:color w:val="1F497D"/>
        </w:rPr>
        <w:t>A team of consultants are finalizing the NAMA Investor Guide under the guidance of the Ghana Investment Promotion Centre. In particular, the focus is to ensure that the quality and presentation of the information in the Guide has the potential to attract local and international private investments in climate change mitigation/development projects in Ghana.</w:t>
      </w:r>
    </w:p>
    <w:p w:rsidR="009D6EA4" w:rsidRPr="0031776B" w:rsidRDefault="009D6EA4" w:rsidP="009D6EA4">
      <w:pPr>
        <w:spacing w:after="0" w:line="240" w:lineRule="auto"/>
        <w:jc w:val="both"/>
        <w:rPr>
          <w:rFonts w:cs="Calibri"/>
          <w:bCs/>
          <w:color w:val="1F497D"/>
        </w:rPr>
      </w:pPr>
    </w:p>
    <w:p w:rsidR="009D6EA4" w:rsidRPr="0031776B" w:rsidRDefault="009D6EA4" w:rsidP="009D6EA4">
      <w:pPr>
        <w:keepNext/>
        <w:spacing w:after="0" w:line="240" w:lineRule="auto"/>
        <w:jc w:val="both"/>
        <w:rPr>
          <w:rFonts w:cs="Calibri"/>
          <w:bCs/>
          <w:color w:val="1F497D"/>
        </w:rPr>
      </w:pPr>
      <w:r w:rsidRPr="0031776B">
        <w:rPr>
          <w:rFonts w:cs="Calibri"/>
          <w:bCs/>
          <w:i/>
          <w:color w:val="1F497D"/>
          <w:u w:val="single"/>
        </w:rPr>
        <w:t xml:space="preserve">Outcome3: National system for preparation of GHG inventories </w:t>
      </w:r>
      <w:r w:rsidRPr="00587B54">
        <w:rPr>
          <w:rFonts w:cs="Calibri"/>
          <w:i/>
          <w:color w:val="1F497D"/>
          <w:u w:val="single"/>
        </w:rPr>
        <w:t>strengthened</w:t>
      </w:r>
      <w:r w:rsidRPr="0031776B">
        <w:rPr>
          <w:rFonts w:cs="Calibri"/>
          <w:bCs/>
          <w:color w:val="1F497D"/>
        </w:rPr>
        <w:t xml:space="preserve"> </w:t>
      </w:r>
    </w:p>
    <w:p w:rsidR="009D6EA4" w:rsidRPr="0031776B" w:rsidRDefault="009D6EA4" w:rsidP="009D6EA4">
      <w:pPr>
        <w:spacing w:after="0" w:line="240" w:lineRule="auto"/>
        <w:jc w:val="both"/>
        <w:rPr>
          <w:rFonts w:cs="Calibri"/>
          <w:bCs/>
          <w:color w:val="1F497D"/>
        </w:rPr>
      </w:pPr>
    </w:p>
    <w:p w:rsidR="009D6EA4" w:rsidRPr="0031776B" w:rsidRDefault="009D6EA4" w:rsidP="009D6EA4">
      <w:pPr>
        <w:spacing w:after="0" w:line="240" w:lineRule="auto"/>
        <w:jc w:val="both"/>
        <w:rPr>
          <w:rFonts w:cs="Calibri"/>
          <w:bCs/>
          <w:color w:val="1F497D"/>
        </w:rPr>
      </w:pPr>
      <w:r w:rsidRPr="0031776B">
        <w:rPr>
          <w:rFonts w:cs="Calibri"/>
          <w:bCs/>
          <w:color w:val="1F497D"/>
        </w:rPr>
        <w:t>Design has commenced on the operational architecture and protocols for an online GHG inventory central database for documentation and archiving of all GHG inventory data.  Documentation and archiving of the data is considered paramount for any future work in this area, to guarantee greater transparency and sustainability of the national inventory system and institutional memory. The database will be located at the Environmental Protection Agency (EPA).</w:t>
      </w:r>
    </w:p>
    <w:p w:rsidR="009D6EA4" w:rsidRPr="0031776B" w:rsidRDefault="009D6EA4" w:rsidP="009D6EA4">
      <w:pPr>
        <w:spacing w:after="0" w:line="240" w:lineRule="auto"/>
        <w:jc w:val="both"/>
        <w:rPr>
          <w:rFonts w:cs="Calibri"/>
          <w:bCs/>
          <w:color w:val="1F497D"/>
        </w:rPr>
      </w:pPr>
    </w:p>
    <w:p w:rsidR="009D6EA4" w:rsidRPr="0031776B" w:rsidRDefault="009D6EA4" w:rsidP="009D6EA4">
      <w:pPr>
        <w:keepNext/>
        <w:spacing w:after="0" w:line="240" w:lineRule="auto"/>
        <w:jc w:val="both"/>
        <w:rPr>
          <w:rFonts w:cs="Calibri"/>
          <w:b/>
          <w:color w:val="1F497D"/>
          <w:lang w:val="en-GB"/>
        </w:rPr>
      </w:pPr>
      <w:r w:rsidRPr="00C61DD3">
        <w:rPr>
          <w:rFonts w:cstheme="minorHAnsi"/>
          <w:b/>
          <w:color w:val="1F497D" w:themeColor="text2"/>
        </w:rPr>
        <w:t>Additional</w:t>
      </w:r>
      <w:r w:rsidRPr="0031776B">
        <w:rPr>
          <w:rFonts w:cs="Calibri"/>
          <w:b/>
          <w:color w:val="1F497D"/>
          <w:lang w:val="en-GB"/>
        </w:rPr>
        <w:t xml:space="preserve"> notes:</w:t>
      </w:r>
    </w:p>
    <w:p w:rsidR="009D6EA4" w:rsidRPr="0031776B" w:rsidRDefault="009D6EA4" w:rsidP="009D6EA4">
      <w:pPr>
        <w:pStyle w:val="ListParagraph"/>
        <w:numPr>
          <w:ilvl w:val="0"/>
          <w:numId w:val="4"/>
        </w:numPr>
        <w:jc w:val="both"/>
        <w:rPr>
          <w:rFonts w:asciiTheme="minorHAnsi" w:hAnsiTheme="minorHAnsi"/>
          <w:color w:val="1F497D"/>
          <w:lang w:val="en-GB"/>
        </w:rPr>
      </w:pPr>
      <w:r w:rsidRPr="0031776B">
        <w:rPr>
          <w:rFonts w:asciiTheme="minorHAnsi" w:hAnsiTheme="minorHAnsi"/>
          <w:color w:val="1F497D"/>
          <w:lang w:val="en-GB"/>
        </w:rPr>
        <w:t>Two representatives from the EPA and the Ministry of Finance participated in the LECB Annual Global Meeting held in Vietnam on 25-27 September where they presented on opportunities to scale up private sector engagement in climate change mitigation, in particular through the use of the NAMA Investor Guide.</w:t>
      </w:r>
    </w:p>
    <w:p w:rsidR="00184613" w:rsidRDefault="00184613" w:rsidP="009D6EA4">
      <w:pPr>
        <w:spacing w:after="0" w:line="240" w:lineRule="auto"/>
        <w:jc w:val="both"/>
        <w:rPr>
          <w:rFonts w:cs="Calibri"/>
          <w:color w:val="1F497D"/>
          <w:lang w:val="en-GB"/>
        </w:rPr>
      </w:pPr>
    </w:p>
    <w:p w:rsidR="009D6EA4" w:rsidRDefault="009D6EA4" w:rsidP="009D6EA4">
      <w:pPr>
        <w:spacing w:after="0" w:line="240" w:lineRule="auto"/>
        <w:jc w:val="both"/>
        <w:rPr>
          <w:rFonts w:cs="Calibri"/>
          <w:color w:val="1F497D"/>
          <w:lang w:val="en-GB"/>
        </w:rPr>
      </w:pPr>
    </w:p>
    <w:p w:rsidR="009D6EA4" w:rsidRDefault="009D6EA4" w:rsidP="009D6EA4">
      <w:pPr>
        <w:spacing w:after="0" w:line="240" w:lineRule="auto"/>
        <w:jc w:val="both"/>
        <w:rPr>
          <w:rFonts w:cs="Calibri"/>
          <w:color w:val="1F497D"/>
          <w:lang w:val="en-GB"/>
        </w:rPr>
      </w:pPr>
    </w:p>
    <w:tbl>
      <w:tblPr>
        <w:tblW w:w="0" w:type="auto"/>
        <w:jc w:val="center"/>
        <w:tblInd w:w="-749" w:type="dxa"/>
        <w:tblLook w:val="04A0" w:firstRow="1" w:lastRow="0" w:firstColumn="1" w:lastColumn="0" w:noHBand="0" w:noVBand="1"/>
      </w:tblPr>
      <w:tblGrid>
        <w:gridCol w:w="3380"/>
        <w:gridCol w:w="2525"/>
        <w:gridCol w:w="3171"/>
      </w:tblGrid>
      <w:tr w:rsidR="00184613" w:rsidRPr="00CC7897" w:rsidTr="00B44186">
        <w:trPr>
          <w:jc w:val="center"/>
        </w:trPr>
        <w:tc>
          <w:tcPr>
            <w:tcW w:w="3380" w:type="dxa"/>
          </w:tcPr>
          <w:p w:rsidR="00184613" w:rsidRPr="00CC7897" w:rsidRDefault="00184613" w:rsidP="00B44186">
            <w:pPr>
              <w:pStyle w:val="Footer"/>
              <w:tabs>
                <w:tab w:val="left" w:pos="1620"/>
                <w:tab w:val="right" w:pos="6120"/>
                <w:tab w:val="left" w:pos="6570"/>
                <w:tab w:val="left" w:pos="10080"/>
                <w:tab w:val="left" w:pos="10800"/>
                <w:tab w:val="left" w:pos="11520"/>
                <w:tab w:val="left" w:pos="12240"/>
                <w:tab w:val="right" w:pos="12960"/>
              </w:tabs>
            </w:pPr>
            <w:r>
              <w:rPr>
                <w:noProof/>
              </w:rPr>
              <w:drawing>
                <wp:inline distT="0" distB="0" distL="0" distR="0">
                  <wp:extent cx="1516380" cy="5410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6380" cy="541020"/>
                          </a:xfrm>
                          <a:prstGeom prst="rect">
                            <a:avLst/>
                          </a:prstGeom>
                          <a:noFill/>
                          <a:ln>
                            <a:noFill/>
                          </a:ln>
                        </pic:spPr>
                      </pic:pic>
                    </a:graphicData>
                  </a:graphic>
                </wp:inline>
              </w:drawing>
            </w:r>
          </w:p>
        </w:tc>
        <w:tc>
          <w:tcPr>
            <w:tcW w:w="2525" w:type="dxa"/>
          </w:tcPr>
          <w:p w:rsidR="00184613" w:rsidRPr="00CC7897" w:rsidRDefault="00184613" w:rsidP="00B44186">
            <w:pPr>
              <w:pStyle w:val="Footer"/>
              <w:tabs>
                <w:tab w:val="left" w:pos="1620"/>
                <w:tab w:val="right" w:pos="6120"/>
                <w:tab w:val="left" w:pos="6570"/>
                <w:tab w:val="left" w:pos="10080"/>
                <w:tab w:val="left" w:pos="10800"/>
                <w:tab w:val="left" w:pos="11520"/>
                <w:tab w:val="left" w:pos="12240"/>
                <w:tab w:val="right" w:pos="12960"/>
              </w:tabs>
              <w:jc w:val="center"/>
            </w:pPr>
            <w:r>
              <w:rPr>
                <w:noProof/>
              </w:rPr>
              <w:drawing>
                <wp:inline distT="0" distB="0" distL="0" distR="0">
                  <wp:extent cx="708660" cy="502920"/>
                  <wp:effectExtent l="0" t="0" r="0" b="0"/>
                  <wp:docPr id="3" name="Picture 3" descr="Afficher l'image en taille ré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Afficher l'image en taille réel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660" cy="502920"/>
                          </a:xfrm>
                          <a:prstGeom prst="rect">
                            <a:avLst/>
                          </a:prstGeom>
                          <a:noFill/>
                          <a:ln>
                            <a:noFill/>
                          </a:ln>
                        </pic:spPr>
                      </pic:pic>
                    </a:graphicData>
                  </a:graphic>
                </wp:inline>
              </w:drawing>
            </w:r>
          </w:p>
        </w:tc>
        <w:tc>
          <w:tcPr>
            <w:tcW w:w="3171" w:type="dxa"/>
          </w:tcPr>
          <w:p w:rsidR="00184613" w:rsidRPr="00CC7897" w:rsidRDefault="00184613" w:rsidP="00B44186">
            <w:pPr>
              <w:pStyle w:val="Footer"/>
              <w:tabs>
                <w:tab w:val="left" w:pos="1620"/>
                <w:tab w:val="right" w:pos="6120"/>
                <w:tab w:val="left" w:pos="6570"/>
                <w:tab w:val="left" w:pos="10080"/>
                <w:tab w:val="left" w:pos="10800"/>
                <w:tab w:val="left" w:pos="11520"/>
                <w:tab w:val="left" w:pos="12240"/>
                <w:tab w:val="right" w:pos="12960"/>
              </w:tabs>
              <w:jc w:val="right"/>
            </w:pPr>
            <w:r>
              <w:rPr>
                <w:noProof/>
              </w:rPr>
              <w:drawing>
                <wp:inline distT="0" distB="0" distL="0" distR="0">
                  <wp:extent cx="1577340" cy="5105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7340" cy="510540"/>
                          </a:xfrm>
                          <a:prstGeom prst="rect">
                            <a:avLst/>
                          </a:prstGeom>
                          <a:noFill/>
                          <a:ln>
                            <a:noFill/>
                          </a:ln>
                        </pic:spPr>
                      </pic:pic>
                    </a:graphicData>
                  </a:graphic>
                </wp:inline>
              </w:drawing>
            </w:r>
          </w:p>
        </w:tc>
      </w:tr>
    </w:tbl>
    <w:p w:rsidR="00184613" w:rsidRDefault="00184613" w:rsidP="009D6EA4">
      <w:pPr>
        <w:spacing w:after="0" w:line="20" w:lineRule="exact"/>
        <w:jc w:val="both"/>
        <w:rPr>
          <w:rFonts w:cs="Calibri"/>
          <w:color w:val="1F497D"/>
          <w:lang w:val="en-GB"/>
        </w:rPr>
      </w:pPr>
      <w:bookmarkStart w:id="0" w:name="_GoBack"/>
      <w:bookmarkEnd w:id="0"/>
    </w:p>
    <w:sectPr w:rsidR="00184613" w:rsidSect="004A2274">
      <w:head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561" w:rsidRDefault="001E2561" w:rsidP="00F118F4">
      <w:pPr>
        <w:spacing w:after="0" w:line="240" w:lineRule="auto"/>
      </w:pPr>
      <w:r>
        <w:separator/>
      </w:r>
    </w:p>
  </w:endnote>
  <w:endnote w:type="continuationSeparator" w:id="0">
    <w:p w:rsidR="001E2561" w:rsidRDefault="001E2561" w:rsidP="00F11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561" w:rsidRDefault="001E2561" w:rsidP="00F118F4">
      <w:pPr>
        <w:spacing w:after="0" w:line="240" w:lineRule="auto"/>
      </w:pPr>
      <w:r>
        <w:separator/>
      </w:r>
    </w:p>
  </w:footnote>
  <w:footnote w:type="continuationSeparator" w:id="0">
    <w:p w:rsidR="001E2561" w:rsidRDefault="001E2561" w:rsidP="00F11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D17D5" w:rsidTr="006F331F">
      <w:tc>
        <w:tcPr>
          <w:tcW w:w="4788" w:type="dxa"/>
        </w:tcPr>
        <w:p w:rsidR="00FD17D5" w:rsidRDefault="00FD17D5" w:rsidP="006F331F">
          <w:pPr>
            <w:pStyle w:val="Header"/>
            <w:rPr>
              <w:b/>
              <w:bCs/>
            </w:rPr>
          </w:pPr>
          <w:r>
            <w:rPr>
              <w:noProof/>
            </w:rPr>
            <w:drawing>
              <wp:inline distT="0" distB="0" distL="0" distR="0" wp14:anchorId="4BC19D29" wp14:editId="5DB71B83">
                <wp:extent cx="2080260" cy="52922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B full Logo.jpg"/>
                        <pic:cNvPicPr/>
                      </pic:nvPicPr>
                      <pic:blipFill>
                        <a:blip r:embed="rId1">
                          <a:extLst>
                            <a:ext uri="{28A0092B-C50C-407E-A947-70E740481C1C}">
                              <a14:useLocalDpi xmlns:a14="http://schemas.microsoft.com/office/drawing/2010/main" val="0"/>
                            </a:ext>
                          </a:extLst>
                        </a:blip>
                        <a:stretch>
                          <a:fillRect/>
                        </a:stretch>
                      </pic:blipFill>
                      <pic:spPr>
                        <a:xfrm>
                          <a:off x="0" y="0"/>
                          <a:ext cx="2084204" cy="530228"/>
                        </a:xfrm>
                        <a:prstGeom prst="rect">
                          <a:avLst/>
                        </a:prstGeom>
                      </pic:spPr>
                    </pic:pic>
                  </a:graphicData>
                </a:graphic>
              </wp:inline>
            </w:drawing>
          </w:r>
        </w:p>
      </w:tc>
      <w:tc>
        <w:tcPr>
          <w:tcW w:w="4788" w:type="dxa"/>
        </w:tcPr>
        <w:p w:rsidR="00FD17D5" w:rsidRDefault="00FD17D5" w:rsidP="006F331F">
          <w:pPr>
            <w:pStyle w:val="Header"/>
            <w:jc w:val="right"/>
            <w:rPr>
              <w:b/>
              <w:bCs/>
            </w:rPr>
          </w:pPr>
          <w:r>
            <w:rPr>
              <w:b/>
              <w:bCs/>
              <w:noProof/>
            </w:rPr>
            <w:drawing>
              <wp:inline distT="0" distB="0" distL="0" distR="0" wp14:anchorId="54A766D3" wp14:editId="35209E9F">
                <wp:extent cx="307104" cy="6296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Blue-ENG.png"/>
                        <pic:cNvPicPr/>
                      </pic:nvPicPr>
                      <pic:blipFill>
                        <a:blip r:embed="rId2">
                          <a:extLst>
                            <a:ext uri="{28A0092B-C50C-407E-A947-70E740481C1C}">
                              <a14:useLocalDpi xmlns:a14="http://schemas.microsoft.com/office/drawing/2010/main" val="0"/>
                            </a:ext>
                          </a:extLst>
                        </a:blip>
                        <a:stretch>
                          <a:fillRect/>
                        </a:stretch>
                      </pic:blipFill>
                      <pic:spPr>
                        <a:xfrm>
                          <a:off x="0" y="0"/>
                          <a:ext cx="307224" cy="629929"/>
                        </a:xfrm>
                        <a:prstGeom prst="rect">
                          <a:avLst/>
                        </a:prstGeom>
                      </pic:spPr>
                    </pic:pic>
                  </a:graphicData>
                </a:graphic>
              </wp:inline>
            </w:drawing>
          </w:r>
        </w:p>
      </w:tc>
    </w:tr>
  </w:tbl>
  <w:p w:rsidR="00F118F4" w:rsidRDefault="00F118F4" w:rsidP="00FD17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24503"/>
    <w:multiLevelType w:val="hybridMultilevel"/>
    <w:tmpl w:val="9D54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BE6EAA"/>
    <w:multiLevelType w:val="hybridMultilevel"/>
    <w:tmpl w:val="CBE00754"/>
    <w:lvl w:ilvl="0" w:tplc="C23277FC">
      <w:start w:val="1"/>
      <w:numFmt w:val="bullet"/>
      <w:lvlText w:val=""/>
      <w:lvlJc w:val="left"/>
      <w:pPr>
        <w:ind w:left="1440" w:hanging="360"/>
      </w:pPr>
      <w:rPr>
        <w:rFonts w:ascii="Symbol" w:hAnsi="Symbol"/>
      </w:rPr>
    </w:lvl>
    <w:lvl w:ilvl="1" w:tplc="672A37E6">
      <w:start w:val="1"/>
      <w:numFmt w:val="bullet"/>
      <w:lvlText w:val="o"/>
      <w:lvlJc w:val="left"/>
      <w:pPr>
        <w:ind w:left="2160" w:hanging="360"/>
      </w:pPr>
      <w:rPr>
        <w:rFonts w:ascii="Courier New" w:hAnsi="Courier New"/>
      </w:rPr>
    </w:lvl>
    <w:lvl w:ilvl="2" w:tplc="BC0CB07E">
      <w:start w:val="1"/>
      <w:numFmt w:val="bullet"/>
      <w:lvlText w:val=""/>
      <w:lvlJc w:val="left"/>
      <w:pPr>
        <w:ind w:left="2880" w:hanging="360"/>
      </w:pPr>
      <w:rPr>
        <w:rFonts w:ascii="Wingdings" w:hAnsi="Wingdings"/>
      </w:rPr>
    </w:lvl>
    <w:lvl w:ilvl="3" w:tplc="4A04F1AA">
      <w:start w:val="1"/>
      <w:numFmt w:val="bullet"/>
      <w:lvlText w:val=""/>
      <w:lvlJc w:val="left"/>
      <w:pPr>
        <w:ind w:left="3600" w:hanging="360"/>
      </w:pPr>
      <w:rPr>
        <w:rFonts w:ascii="Symbol" w:hAnsi="Symbol"/>
      </w:rPr>
    </w:lvl>
    <w:lvl w:ilvl="4" w:tplc="8B0EFB28">
      <w:start w:val="1"/>
      <w:numFmt w:val="bullet"/>
      <w:lvlText w:val="o"/>
      <w:lvlJc w:val="left"/>
      <w:pPr>
        <w:ind w:left="4320" w:hanging="360"/>
      </w:pPr>
      <w:rPr>
        <w:rFonts w:ascii="Courier New" w:hAnsi="Courier New"/>
      </w:rPr>
    </w:lvl>
    <w:lvl w:ilvl="5" w:tplc="AF8296F0">
      <w:start w:val="1"/>
      <w:numFmt w:val="bullet"/>
      <w:lvlText w:val=""/>
      <w:lvlJc w:val="left"/>
      <w:pPr>
        <w:ind w:left="5040" w:hanging="360"/>
      </w:pPr>
      <w:rPr>
        <w:rFonts w:ascii="Wingdings" w:hAnsi="Wingdings"/>
      </w:rPr>
    </w:lvl>
    <w:lvl w:ilvl="6" w:tplc="1F66018E">
      <w:start w:val="1"/>
      <w:numFmt w:val="bullet"/>
      <w:lvlText w:val=""/>
      <w:lvlJc w:val="left"/>
      <w:pPr>
        <w:ind w:left="5760" w:hanging="360"/>
      </w:pPr>
      <w:rPr>
        <w:rFonts w:ascii="Symbol" w:hAnsi="Symbol"/>
      </w:rPr>
    </w:lvl>
    <w:lvl w:ilvl="7" w:tplc="065C4E64">
      <w:start w:val="1"/>
      <w:numFmt w:val="bullet"/>
      <w:lvlText w:val="o"/>
      <w:lvlJc w:val="left"/>
      <w:pPr>
        <w:ind w:left="6480" w:hanging="360"/>
      </w:pPr>
      <w:rPr>
        <w:rFonts w:ascii="Courier New" w:hAnsi="Courier New"/>
      </w:rPr>
    </w:lvl>
    <w:lvl w:ilvl="8" w:tplc="A9C4788A">
      <w:start w:val="1"/>
      <w:numFmt w:val="bullet"/>
      <w:lvlText w:val=""/>
      <w:lvlJc w:val="left"/>
      <w:pPr>
        <w:ind w:left="7200" w:hanging="360"/>
      </w:pPr>
      <w:rPr>
        <w:rFonts w:ascii="Wingdings" w:hAnsi="Wingdings"/>
      </w:rPr>
    </w:lvl>
  </w:abstractNum>
  <w:abstractNum w:abstractNumId="2">
    <w:nsid w:val="6BED245A"/>
    <w:multiLevelType w:val="hybridMultilevel"/>
    <w:tmpl w:val="9D6CB5C2"/>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3">
    <w:nsid w:val="79EA58C7"/>
    <w:multiLevelType w:val="hybridMultilevel"/>
    <w:tmpl w:val="E3D2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2C"/>
    <w:rsid w:val="0000074A"/>
    <w:rsid w:val="00024BF5"/>
    <w:rsid w:val="000649BC"/>
    <w:rsid w:val="000979AE"/>
    <w:rsid w:val="000B106C"/>
    <w:rsid w:val="000C6901"/>
    <w:rsid w:val="000C7A1B"/>
    <w:rsid w:val="001200C2"/>
    <w:rsid w:val="00141C62"/>
    <w:rsid w:val="001423C0"/>
    <w:rsid w:val="001612C9"/>
    <w:rsid w:val="00184613"/>
    <w:rsid w:val="001E2561"/>
    <w:rsid w:val="0029463D"/>
    <w:rsid w:val="00315D51"/>
    <w:rsid w:val="003319B2"/>
    <w:rsid w:val="00386AB6"/>
    <w:rsid w:val="003E6D72"/>
    <w:rsid w:val="00461629"/>
    <w:rsid w:val="0047727C"/>
    <w:rsid w:val="004A2274"/>
    <w:rsid w:val="004D1526"/>
    <w:rsid w:val="004E7EAC"/>
    <w:rsid w:val="004F6F58"/>
    <w:rsid w:val="006525CC"/>
    <w:rsid w:val="006B2B48"/>
    <w:rsid w:val="006B36CC"/>
    <w:rsid w:val="006F24C5"/>
    <w:rsid w:val="0071123C"/>
    <w:rsid w:val="00752A71"/>
    <w:rsid w:val="0075586E"/>
    <w:rsid w:val="007703EA"/>
    <w:rsid w:val="007754C7"/>
    <w:rsid w:val="007A3F66"/>
    <w:rsid w:val="007F3CF5"/>
    <w:rsid w:val="0080390B"/>
    <w:rsid w:val="00814288"/>
    <w:rsid w:val="0088245C"/>
    <w:rsid w:val="008B618D"/>
    <w:rsid w:val="008C272E"/>
    <w:rsid w:val="008D4788"/>
    <w:rsid w:val="009D6EA4"/>
    <w:rsid w:val="00A14298"/>
    <w:rsid w:val="00A3093E"/>
    <w:rsid w:val="00B37DBC"/>
    <w:rsid w:val="00B51996"/>
    <w:rsid w:val="00B53FE4"/>
    <w:rsid w:val="00B73FC3"/>
    <w:rsid w:val="00BB73CD"/>
    <w:rsid w:val="00BD3BF6"/>
    <w:rsid w:val="00BE7C8B"/>
    <w:rsid w:val="00C77B2C"/>
    <w:rsid w:val="00C96CEA"/>
    <w:rsid w:val="00CA76CA"/>
    <w:rsid w:val="00D70B96"/>
    <w:rsid w:val="00DA2A54"/>
    <w:rsid w:val="00DE0795"/>
    <w:rsid w:val="00DF399B"/>
    <w:rsid w:val="00ED06D9"/>
    <w:rsid w:val="00EF226D"/>
    <w:rsid w:val="00F118F4"/>
    <w:rsid w:val="00F262FB"/>
    <w:rsid w:val="00FD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7B2C"/>
    <w:pPr>
      <w:spacing w:after="0" w:line="240" w:lineRule="auto"/>
      <w:ind w:left="720"/>
    </w:pPr>
    <w:rPr>
      <w:rFonts w:ascii="Calibri" w:hAnsi="Calibri" w:cs="Calibri"/>
    </w:rPr>
  </w:style>
  <w:style w:type="table" w:customStyle="1" w:styleId="LightList-Accent12">
    <w:name w:val="Light List - Accent 12"/>
    <w:basedOn w:val="TableNormal"/>
    <w:uiPriority w:val="61"/>
    <w:rsid w:val="00C77B2C"/>
    <w:pPr>
      <w:spacing w:after="0" w:line="240" w:lineRule="auto"/>
    </w:pPr>
    <w:rPr>
      <w:rFonts w:ascii="Calibri" w:eastAsia="Calibri" w:hAnsi="Calibri" w:cs="Times New Roman"/>
      <w:lang w:val="de-DE"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ParagraphChar">
    <w:name w:val="List Paragraph Char"/>
    <w:link w:val="ListParagraph"/>
    <w:uiPriority w:val="34"/>
    <w:locked/>
    <w:rsid w:val="00C77B2C"/>
    <w:rPr>
      <w:rFonts w:ascii="Calibri" w:eastAsiaTheme="minorEastAsia" w:hAnsi="Calibri" w:cs="Calibri"/>
    </w:rPr>
  </w:style>
  <w:style w:type="character" w:styleId="CommentReference">
    <w:name w:val="annotation reference"/>
    <w:basedOn w:val="DefaultParagraphFont"/>
    <w:uiPriority w:val="99"/>
    <w:semiHidden/>
    <w:unhideWhenUsed/>
    <w:rsid w:val="00D70B96"/>
    <w:rPr>
      <w:sz w:val="16"/>
      <w:szCs w:val="16"/>
    </w:rPr>
  </w:style>
  <w:style w:type="paragraph" w:styleId="CommentText">
    <w:name w:val="annotation text"/>
    <w:basedOn w:val="Normal"/>
    <w:link w:val="CommentTextChar"/>
    <w:uiPriority w:val="99"/>
    <w:semiHidden/>
    <w:unhideWhenUsed/>
    <w:rsid w:val="00D70B96"/>
    <w:pPr>
      <w:spacing w:line="240" w:lineRule="auto"/>
    </w:pPr>
    <w:rPr>
      <w:sz w:val="20"/>
      <w:szCs w:val="20"/>
    </w:rPr>
  </w:style>
  <w:style w:type="character" w:customStyle="1" w:styleId="CommentTextChar">
    <w:name w:val="Comment Text Char"/>
    <w:basedOn w:val="DefaultParagraphFont"/>
    <w:link w:val="CommentText"/>
    <w:uiPriority w:val="99"/>
    <w:semiHidden/>
    <w:rsid w:val="00D70B9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70B96"/>
    <w:rPr>
      <w:b/>
      <w:bCs/>
    </w:rPr>
  </w:style>
  <w:style w:type="character" w:customStyle="1" w:styleId="CommentSubjectChar">
    <w:name w:val="Comment Subject Char"/>
    <w:basedOn w:val="CommentTextChar"/>
    <w:link w:val="CommentSubject"/>
    <w:uiPriority w:val="99"/>
    <w:semiHidden/>
    <w:rsid w:val="00D70B96"/>
    <w:rPr>
      <w:rFonts w:eastAsiaTheme="minorEastAsia"/>
      <w:b/>
      <w:bCs/>
      <w:sz w:val="20"/>
      <w:szCs w:val="20"/>
    </w:rPr>
  </w:style>
  <w:style w:type="paragraph" w:styleId="BalloonText">
    <w:name w:val="Balloon Text"/>
    <w:basedOn w:val="Normal"/>
    <w:link w:val="BalloonTextChar"/>
    <w:uiPriority w:val="99"/>
    <w:semiHidden/>
    <w:unhideWhenUsed/>
    <w:rsid w:val="00D70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B96"/>
    <w:rPr>
      <w:rFonts w:ascii="Tahoma" w:eastAsiaTheme="minorEastAsia" w:hAnsi="Tahoma" w:cs="Tahoma"/>
      <w:sz w:val="16"/>
      <w:szCs w:val="16"/>
    </w:rPr>
  </w:style>
  <w:style w:type="paragraph" w:styleId="Header">
    <w:name w:val="header"/>
    <w:basedOn w:val="Normal"/>
    <w:link w:val="HeaderChar"/>
    <w:uiPriority w:val="99"/>
    <w:unhideWhenUsed/>
    <w:rsid w:val="00F11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8F4"/>
    <w:rPr>
      <w:rFonts w:eastAsiaTheme="minorEastAsia"/>
    </w:rPr>
  </w:style>
  <w:style w:type="paragraph" w:styleId="Footer">
    <w:name w:val="footer"/>
    <w:basedOn w:val="Normal"/>
    <w:link w:val="FooterChar"/>
    <w:uiPriority w:val="99"/>
    <w:unhideWhenUsed/>
    <w:rsid w:val="00F11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8F4"/>
    <w:rPr>
      <w:rFonts w:eastAsiaTheme="minorEastAsia"/>
    </w:rPr>
  </w:style>
  <w:style w:type="table" w:styleId="TableGrid">
    <w:name w:val="Table Grid"/>
    <w:basedOn w:val="TableNormal"/>
    <w:uiPriority w:val="59"/>
    <w:rsid w:val="00FD1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7B2C"/>
    <w:pPr>
      <w:spacing w:after="0" w:line="240" w:lineRule="auto"/>
      <w:ind w:left="720"/>
    </w:pPr>
    <w:rPr>
      <w:rFonts w:ascii="Calibri" w:hAnsi="Calibri" w:cs="Calibri"/>
    </w:rPr>
  </w:style>
  <w:style w:type="table" w:customStyle="1" w:styleId="LightList-Accent12">
    <w:name w:val="Light List - Accent 12"/>
    <w:basedOn w:val="TableNormal"/>
    <w:uiPriority w:val="61"/>
    <w:rsid w:val="00C77B2C"/>
    <w:pPr>
      <w:spacing w:after="0" w:line="240" w:lineRule="auto"/>
    </w:pPr>
    <w:rPr>
      <w:rFonts w:ascii="Calibri" w:eastAsia="Calibri" w:hAnsi="Calibri" w:cs="Times New Roman"/>
      <w:lang w:val="de-DE"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ParagraphChar">
    <w:name w:val="List Paragraph Char"/>
    <w:link w:val="ListParagraph"/>
    <w:uiPriority w:val="34"/>
    <w:locked/>
    <w:rsid w:val="00C77B2C"/>
    <w:rPr>
      <w:rFonts w:ascii="Calibri" w:eastAsiaTheme="minorEastAsia" w:hAnsi="Calibri" w:cs="Calibri"/>
    </w:rPr>
  </w:style>
  <w:style w:type="character" w:styleId="CommentReference">
    <w:name w:val="annotation reference"/>
    <w:basedOn w:val="DefaultParagraphFont"/>
    <w:uiPriority w:val="99"/>
    <w:semiHidden/>
    <w:unhideWhenUsed/>
    <w:rsid w:val="00D70B96"/>
    <w:rPr>
      <w:sz w:val="16"/>
      <w:szCs w:val="16"/>
    </w:rPr>
  </w:style>
  <w:style w:type="paragraph" w:styleId="CommentText">
    <w:name w:val="annotation text"/>
    <w:basedOn w:val="Normal"/>
    <w:link w:val="CommentTextChar"/>
    <w:uiPriority w:val="99"/>
    <w:semiHidden/>
    <w:unhideWhenUsed/>
    <w:rsid w:val="00D70B96"/>
    <w:pPr>
      <w:spacing w:line="240" w:lineRule="auto"/>
    </w:pPr>
    <w:rPr>
      <w:sz w:val="20"/>
      <w:szCs w:val="20"/>
    </w:rPr>
  </w:style>
  <w:style w:type="character" w:customStyle="1" w:styleId="CommentTextChar">
    <w:name w:val="Comment Text Char"/>
    <w:basedOn w:val="DefaultParagraphFont"/>
    <w:link w:val="CommentText"/>
    <w:uiPriority w:val="99"/>
    <w:semiHidden/>
    <w:rsid w:val="00D70B9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70B96"/>
    <w:rPr>
      <w:b/>
      <w:bCs/>
    </w:rPr>
  </w:style>
  <w:style w:type="character" w:customStyle="1" w:styleId="CommentSubjectChar">
    <w:name w:val="Comment Subject Char"/>
    <w:basedOn w:val="CommentTextChar"/>
    <w:link w:val="CommentSubject"/>
    <w:uiPriority w:val="99"/>
    <w:semiHidden/>
    <w:rsid w:val="00D70B96"/>
    <w:rPr>
      <w:rFonts w:eastAsiaTheme="minorEastAsia"/>
      <w:b/>
      <w:bCs/>
      <w:sz w:val="20"/>
      <w:szCs w:val="20"/>
    </w:rPr>
  </w:style>
  <w:style w:type="paragraph" w:styleId="BalloonText">
    <w:name w:val="Balloon Text"/>
    <w:basedOn w:val="Normal"/>
    <w:link w:val="BalloonTextChar"/>
    <w:uiPriority w:val="99"/>
    <w:semiHidden/>
    <w:unhideWhenUsed/>
    <w:rsid w:val="00D70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B96"/>
    <w:rPr>
      <w:rFonts w:ascii="Tahoma" w:eastAsiaTheme="minorEastAsia" w:hAnsi="Tahoma" w:cs="Tahoma"/>
      <w:sz w:val="16"/>
      <w:szCs w:val="16"/>
    </w:rPr>
  </w:style>
  <w:style w:type="paragraph" w:styleId="Header">
    <w:name w:val="header"/>
    <w:basedOn w:val="Normal"/>
    <w:link w:val="HeaderChar"/>
    <w:uiPriority w:val="99"/>
    <w:unhideWhenUsed/>
    <w:rsid w:val="00F11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8F4"/>
    <w:rPr>
      <w:rFonts w:eastAsiaTheme="minorEastAsia"/>
    </w:rPr>
  </w:style>
  <w:style w:type="paragraph" w:styleId="Footer">
    <w:name w:val="footer"/>
    <w:basedOn w:val="Normal"/>
    <w:link w:val="FooterChar"/>
    <w:uiPriority w:val="99"/>
    <w:unhideWhenUsed/>
    <w:rsid w:val="00F11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8F4"/>
    <w:rPr>
      <w:rFonts w:eastAsiaTheme="minorEastAsia"/>
    </w:rPr>
  </w:style>
  <w:style w:type="table" w:styleId="TableGrid">
    <w:name w:val="Table Grid"/>
    <w:basedOn w:val="TableNormal"/>
    <w:uiPriority w:val="59"/>
    <w:rsid w:val="00FD1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2015-09-18T13:00:00+00:00</UNDPPublishedDate>
    <UNDPCountryTaxHTField0 xmlns="1ed4137b-41b2-488b-8250-6d369ec27664">
      <Terms xmlns="http://schemas.microsoft.com/office/infopath/2007/PartnerControls"/>
    </UNDPCountryTaxHTField0>
    <UndpOUCode xmlns="1ed4137b-41b2-488b-8250-6d369ec27664">GHA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1159</Value>
      <Value>1</Value>
      <Value>763</Value>
    </TaxCatchAll>
    <c4e2ab2cc9354bbf9064eeb465a566ea xmlns="1ed4137b-41b2-488b-8250-6d369ec27664">
      <Terms xmlns="http://schemas.microsoft.com/office/infopath/2007/PartnerControls"/>
    </c4e2ab2cc9354bbf9064eeb465a566ea>
    <UndpProjectNo xmlns="1ed4137b-41b2-488b-8250-6d369ec27664">00065880</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GHA</TermName>
          <TermId xmlns="http://schemas.microsoft.com/office/infopath/2007/PartnerControls">1d2ea0de-5983-4ca5-a610-838eddc7a0d2</TermId>
        </TermInfo>
      </Terms>
    </gc6531b704974d528487414686b72f6f>
    <_dlc_DocId xmlns="f1161f5b-24a3-4c2d-bc81-44cb9325e8ee">ATLASPDC-4-38649</_dlc_DocId>
    <_dlc_DocIdUrl xmlns="f1161f5b-24a3-4c2d-bc81-44cb9325e8ee">
      <Url>https://info.undp.org/docs/pdc/_layouts/DocIdRedir.aspx?ID=ATLASPDC-4-38649</Url>
      <Description>ATLASPDC-4-38649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89A3527-4648-4251-9DF8-33BE891A386B}"/>
</file>

<file path=customXml/itemProps2.xml><?xml version="1.0" encoding="utf-8"?>
<ds:datastoreItem xmlns:ds="http://schemas.openxmlformats.org/officeDocument/2006/customXml" ds:itemID="{B3A96552-F750-4837-99A2-6276C80F3B3E}"/>
</file>

<file path=customXml/itemProps3.xml><?xml version="1.0" encoding="utf-8"?>
<ds:datastoreItem xmlns:ds="http://schemas.openxmlformats.org/officeDocument/2006/customXml" ds:itemID="{89402BBB-8190-4510-96B3-A8BCF728B47F}"/>
</file>

<file path=customXml/itemProps4.xml><?xml version="1.0" encoding="utf-8"?>
<ds:datastoreItem xmlns:ds="http://schemas.openxmlformats.org/officeDocument/2006/customXml" ds:itemID="{7A2DEC60-C426-44CA-920E-B2E87CE77920}"/>
</file>

<file path=customXml/itemProps5.xml><?xml version="1.0" encoding="utf-8"?>
<ds:datastoreItem xmlns:ds="http://schemas.openxmlformats.org/officeDocument/2006/customXml" ds:itemID="{A5182654-53BC-493B-8CDC-0DD743CB8C5B}"/>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Carman</dc:creator>
  <cp:lastModifiedBy>Rebecca Carman</cp:lastModifiedBy>
  <cp:revision>2</cp:revision>
  <dcterms:created xsi:type="dcterms:W3CDTF">2013-12-13T17:40:00Z</dcterms:created>
  <dcterms:modified xsi:type="dcterms:W3CDTF">2013-12-13T17:40:00Z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1159;#GHA|1d2ea0de-5983-4ca5-a610-838eddc7a0d2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97501044-f1e5-40ea-b27c-3d3c9f1997b0</vt:lpwstr>
  </property>
  <property fmtid="{D5CDD505-2E9C-101B-9397-08002B2CF9AE}" pid="18" name="URL">
    <vt:lpwstr/>
  </property>
  <property fmtid="{D5CDD505-2E9C-101B-9397-08002B2CF9AE}" pid="19" name="DocumentSetDescription">
    <vt:lpwstr/>
  </property>
</Properties>
</file>